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3E626" w14:textId="3FF040BC" w:rsidR="00F01182" w:rsidRPr="00A21195" w:rsidRDefault="00F01182" w:rsidP="00F01182">
      <w:pPr>
        <w:pStyle w:val="Header"/>
        <w:tabs>
          <w:tab w:val="right" w:pos="8280"/>
          <w:tab w:val="right" w:pos="9639"/>
        </w:tabs>
        <w:jc w:val="both"/>
        <w:rPr>
          <w:rFonts w:cs="Arial"/>
          <w:noProof w:val="0"/>
          <w:sz w:val="24"/>
        </w:rPr>
      </w:pPr>
      <w:r w:rsidRPr="002D6524">
        <w:rPr>
          <w:rFonts w:cs="Arial"/>
          <w:sz w:val="24"/>
          <w:szCs w:val="24"/>
        </w:rPr>
        <w:t>3GPP TSG-RAN WG4 Meeting #</w:t>
      </w:r>
      <w:r w:rsidR="00087088">
        <w:rPr>
          <w:rFonts w:cs="Arial"/>
          <w:sz w:val="24"/>
          <w:szCs w:val="24"/>
        </w:rPr>
        <w:t>100</w:t>
      </w:r>
      <w:r w:rsidRPr="00AB081E">
        <w:rPr>
          <w:rFonts w:cs="Arial"/>
          <w:sz w:val="24"/>
          <w:szCs w:val="24"/>
        </w:rPr>
        <w:t>-e</w:t>
      </w:r>
      <w:r w:rsidRPr="002D6524">
        <w:rPr>
          <w:rFonts w:cs="Arial"/>
          <w:noProof w:val="0"/>
          <w:sz w:val="24"/>
        </w:rPr>
        <w:tab/>
      </w:r>
      <w:r w:rsidRPr="002D6524">
        <w:rPr>
          <w:rFonts w:cs="Arial"/>
          <w:noProof w:val="0"/>
          <w:sz w:val="24"/>
        </w:rPr>
        <w:tab/>
      </w:r>
      <w:r w:rsidR="00E60B32" w:rsidRPr="00E60B32">
        <w:rPr>
          <w:rFonts w:cs="Arial"/>
          <w:noProof w:val="0"/>
          <w:sz w:val="24"/>
        </w:rPr>
        <w:t>R4-2114189</w:t>
      </w:r>
    </w:p>
    <w:p w14:paraId="67F14A92" w14:textId="06D20273" w:rsidR="00F01182" w:rsidRPr="00AB081E" w:rsidRDefault="00F01182" w:rsidP="00F01182">
      <w:pPr>
        <w:pStyle w:val="Header"/>
        <w:tabs>
          <w:tab w:val="right" w:pos="8280"/>
          <w:tab w:val="right" w:pos="9639"/>
        </w:tabs>
        <w:jc w:val="both"/>
        <w:rPr>
          <w:rFonts w:cs="Arial"/>
          <w:sz w:val="24"/>
          <w:szCs w:val="24"/>
        </w:rPr>
      </w:pPr>
      <w:r w:rsidRPr="00AB081E">
        <w:rPr>
          <w:rFonts w:cs="Arial"/>
          <w:sz w:val="24"/>
          <w:szCs w:val="24"/>
        </w:rPr>
        <w:t xml:space="preserve">E-meeting, </w:t>
      </w:r>
      <w:r w:rsidR="00087088" w:rsidRPr="00AB081E">
        <w:rPr>
          <w:rFonts w:cs="Arial"/>
          <w:sz w:val="24"/>
          <w:szCs w:val="24"/>
        </w:rPr>
        <w:t>1</w:t>
      </w:r>
      <w:r w:rsidR="00087088">
        <w:rPr>
          <w:rFonts w:cs="Arial"/>
          <w:sz w:val="24"/>
          <w:szCs w:val="24"/>
        </w:rPr>
        <w:t>6</w:t>
      </w:r>
      <w:r w:rsidR="00087088" w:rsidRPr="00AB081E">
        <w:rPr>
          <w:rFonts w:cs="Arial"/>
          <w:sz w:val="24"/>
          <w:szCs w:val="24"/>
        </w:rPr>
        <w:t xml:space="preserve"> </w:t>
      </w:r>
      <w:r w:rsidR="00087088">
        <w:rPr>
          <w:rFonts w:cs="Arial"/>
          <w:sz w:val="24"/>
          <w:szCs w:val="24"/>
        </w:rPr>
        <w:t>Aug</w:t>
      </w:r>
      <w:r w:rsidR="00087088" w:rsidRPr="00AB081E">
        <w:rPr>
          <w:rFonts w:cs="Arial"/>
          <w:sz w:val="24"/>
          <w:szCs w:val="24"/>
        </w:rPr>
        <w:t xml:space="preserve"> – 27 </w:t>
      </w:r>
      <w:r w:rsidR="00087088">
        <w:rPr>
          <w:rFonts w:cs="Arial"/>
          <w:sz w:val="24"/>
          <w:szCs w:val="24"/>
        </w:rPr>
        <w:t>Aug</w:t>
      </w:r>
      <w:r w:rsidR="00087088" w:rsidRPr="00AB081E">
        <w:rPr>
          <w:rFonts w:cs="Arial"/>
          <w:sz w:val="24"/>
          <w:szCs w:val="24"/>
        </w:rPr>
        <w:t>, 2021</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1FC3FF88"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C65EF3" w:rsidRPr="00AB081E">
        <w:rPr>
          <w:rFonts w:ascii="Arial" w:hAnsi="Arial" w:cs="Arial"/>
          <w:b/>
          <w:sz w:val="24"/>
        </w:rPr>
        <w:t>9.</w:t>
      </w:r>
      <w:r w:rsidR="00A21195">
        <w:rPr>
          <w:rFonts w:ascii="Arial" w:hAnsi="Arial" w:cs="Arial"/>
          <w:b/>
          <w:sz w:val="24"/>
        </w:rPr>
        <w:t>16.7.</w:t>
      </w:r>
      <w:r w:rsidR="00BA7DE0">
        <w:rPr>
          <w:rFonts w:ascii="Arial" w:hAnsi="Arial" w:cs="Arial"/>
          <w:b/>
          <w:sz w:val="24"/>
        </w:rPr>
        <w:t>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11457D8E"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BA7DE0" w:rsidRPr="00BA7DE0">
        <w:rPr>
          <w:rFonts w:ascii="Arial" w:hAnsi="Arial" w:cs="Arial"/>
          <w:b/>
          <w:sz w:val="24"/>
        </w:rPr>
        <w:t xml:space="preserve">Discussion on general aspects for NR 52.6 – 71 GHz RRM </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717234B3" w14:textId="1E2C85A0" w:rsidR="008C6931" w:rsidRPr="00431B06" w:rsidRDefault="00DC3348" w:rsidP="00F01182">
      <w:pPr>
        <w:jc w:val="both"/>
      </w:pPr>
      <w:r w:rsidRPr="00431B06">
        <w:t xml:space="preserve">In this paper we </w:t>
      </w:r>
      <w:r w:rsidR="006A03B1">
        <w:t>discuss</w:t>
      </w:r>
      <w:r w:rsidR="00BA6BAA">
        <w:t xml:space="preserve"> some general aspects of</w:t>
      </w:r>
      <w:r w:rsidR="006A03B1">
        <w:t xml:space="preserve"> </w:t>
      </w:r>
      <w:r w:rsidR="006A03B1" w:rsidRPr="006A03B1">
        <w:t xml:space="preserve">52.6 – 71 GHz </w:t>
      </w:r>
      <w:r w:rsidR="006A03B1">
        <w:t xml:space="preserve">frequency range </w:t>
      </w:r>
      <w:r w:rsidR="00BA6BAA">
        <w:t xml:space="preserve">features </w:t>
      </w:r>
      <w:r w:rsidR="006A03B1">
        <w:t>and identify their impact on RRM spec</w:t>
      </w:r>
      <w:r w:rsidR="009D6577" w:rsidRPr="00431B06">
        <w:t>.</w:t>
      </w:r>
      <w:r w:rsidR="00553847" w:rsidRPr="00431B06">
        <w:t xml:space="preserve"> </w:t>
      </w:r>
    </w:p>
    <w:p w14:paraId="0313439D" w14:textId="77777777" w:rsidR="00F01182" w:rsidRPr="00146B4F" w:rsidRDefault="00F01182" w:rsidP="00F01182">
      <w:pPr>
        <w:pStyle w:val="Heading1"/>
      </w:pPr>
      <w:r>
        <w:t>Discussion</w:t>
      </w:r>
    </w:p>
    <w:p w14:paraId="0871E5A4" w14:textId="0DD2F38C" w:rsidR="00982F1A" w:rsidRDefault="00D3657F" w:rsidP="00397650">
      <w:pPr>
        <w:pStyle w:val="Heading2"/>
        <w:rPr>
          <w:rStyle w:val="fontstyle01"/>
          <w:rFonts w:ascii="Arial" w:hAnsi="Arial"/>
          <w:color w:val="auto"/>
          <w:sz w:val="24"/>
          <w:szCs w:val="20"/>
        </w:rPr>
      </w:pPr>
      <w:r>
        <w:rPr>
          <w:rStyle w:val="fontstyle01"/>
          <w:rFonts w:ascii="Arial" w:hAnsi="Arial"/>
          <w:color w:val="auto"/>
          <w:sz w:val="24"/>
          <w:szCs w:val="20"/>
        </w:rPr>
        <w:t>Deployment scenario</w:t>
      </w:r>
    </w:p>
    <w:p w14:paraId="4038B153" w14:textId="502DD96D" w:rsidR="004B204C" w:rsidRDefault="00087088" w:rsidP="00D254A8">
      <w:pPr>
        <w:rPr>
          <w:lang w:eastAsia="ja-JP" w:bidi="hi-IN"/>
        </w:rPr>
      </w:pPr>
      <w:r w:rsidRPr="00087088">
        <w:rPr>
          <w:lang w:eastAsia="ja-JP" w:bidi="hi-IN"/>
        </w:rPr>
        <w:t>During the RAN4 #99</w:t>
      </w:r>
      <w:r w:rsidR="00983F2A">
        <w:rPr>
          <w:lang w:eastAsia="ja-JP" w:bidi="hi-IN"/>
        </w:rPr>
        <w:t xml:space="preserve"> the following options were listed </w:t>
      </w:r>
      <w:r w:rsidR="004B0471">
        <w:rPr>
          <w:lang w:eastAsia="ja-JP" w:bidi="hi-IN"/>
        </w:rPr>
        <w:t xml:space="preserve">in WF [1] </w:t>
      </w:r>
      <w:r w:rsidR="00983F2A">
        <w:rPr>
          <w:lang w:eastAsia="ja-JP" w:bidi="hi-IN"/>
        </w:rPr>
        <w:t>for deployment scenario prioritization:</w:t>
      </w:r>
    </w:p>
    <w:tbl>
      <w:tblPr>
        <w:tblStyle w:val="TableGrid"/>
        <w:tblW w:w="0" w:type="auto"/>
        <w:tblLook w:val="04A0" w:firstRow="1" w:lastRow="0" w:firstColumn="1" w:lastColumn="0" w:noHBand="0" w:noVBand="1"/>
      </w:tblPr>
      <w:tblGrid>
        <w:gridCol w:w="9629"/>
      </w:tblGrid>
      <w:tr w:rsidR="00087088" w14:paraId="75C659E1" w14:textId="77777777" w:rsidTr="00A82FBF">
        <w:tc>
          <w:tcPr>
            <w:tcW w:w="9629" w:type="dxa"/>
          </w:tcPr>
          <w:p w14:paraId="3A817406" w14:textId="30EE850B" w:rsidR="00983F2A" w:rsidRDefault="00983F2A" w:rsidP="00983F2A">
            <w:pPr>
              <w:ind w:left="360"/>
              <w:jc w:val="both"/>
              <w:rPr>
                <w:bCs/>
                <w:i/>
                <w:iCs/>
                <w:lang w:val="en-US"/>
              </w:rPr>
            </w:pPr>
            <w:r w:rsidRPr="00983F2A">
              <w:rPr>
                <w:bCs/>
                <w:i/>
                <w:iCs/>
              </w:rPr>
              <w:t>Deployment scenarios</w:t>
            </w:r>
          </w:p>
          <w:p w14:paraId="01BED742" w14:textId="258A0228" w:rsidR="00087088" w:rsidRPr="00087088" w:rsidRDefault="00087088" w:rsidP="00087088">
            <w:pPr>
              <w:numPr>
                <w:ilvl w:val="0"/>
                <w:numId w:val="6"/>
              </w:numPr>
              <w:jc w:val="both"/>
              <w:rPr>
                <w:bCs/>
                <w:i/>
                <w:iCs/>
                <w:lang w:val="en-US"/>
              </w:rPr>
            </w:pPr>
            <w:r w:rsidRPr="00087088">
              <w:rPr>
                <w:bCs/>
                <w:i/>
                <w:iCs/>
                <w:lang w:val="en-US"/>
              </w:rPr>
              <w:t>Following options are identified during the RRM discussion on this topic</w:t>
            </w:r>
          </w:p>
          <w:p w14:paraId="1154BA2C" w14:textId="77777777" w:rsidR="00087088" w:rsidRPr="00087088" w:rsidRDefault="00087088" w:rsidP="00087088">
            <w:pPr>
              <w:numPr>
                <w:ilvl w:val="1"/>
                <w:numId w:val="6"/>
              </w:numPr>
              <w:jc w:val="both"/>
              <w:rPr>
                <w:bCs/>
                <w:i/>
                <w:iCs/>
                <w:lang w:val="en-US"/>
              </w:rPr>
            </w:pPr>
            <w:r w:rsidRPr="00087088">
              <w:rPr>
                <w:bCs/>
                <w:i/>
                <w:iCs/>
              </w:rPr>
              <w:t>Option 1(Vivo): RAN4 works on RRM requirements for standalone single-carrier and multi-carrier operation first</w:t>
            </w:r>
          </w:p>
          <w:p w14:paraId="7A76F07E" w14:textId="77777777" w:rsidR="00087088" w:rsidRPr="00087088" w:rsidRDefault="00087088" w:rsidP="00087088">
            <w:pPr>
              <w:numPr>
                <w:ilvl w:val="1"/>
                <w:numId w:val="6"/>
              </w:numPr>
              <w:jc w:val="both"/>
              <w:rPr>
                <w:bCs/>
                <w:i/>
                <w:iCs/>
                <w:lang w:val="en-US"/>
              </w:rPr>
            </w:pPr>
            <w:r w:rsidRPr="00087088">
              <w:rPr>
                <w:bCs/>
                <w:i/>
                <w:iCs/>
              </w:rPr>
              <w:t xml:space="preserve">Option 2 (Nokia): RAN4 works on RRM requirements first for </w:t>
            </w:r>
          </w:p>
          <w:p w14:paraId="3FF4FFB2" w14:textId="77777777" w:rsidR="00087088" w:rsidRPr="00087088" w:rsidRDefault="00087088" w:rsidP="00087088">
            <w:pPr>
              <w:numPr>
                <w:ilvl w:val="2"/>
                <w:numId w:val="6"/>
              </w:numPr>
              <w:jc w:val="both"/>
              <w:rPr>
                <w:bCs/>
                <w:i/>
                <w:iCs/>
                <w:lang w:val="en-US"/>
              </w:rPr>
            </w:pPr>
            <w:r w:rsidRPr="00087088">
              <w:rPr>
                <w:bCs/>
                <w:i/>
                <w:iCs/>
              </w:rPr>
              <w:t>Standalone single-carrier and multi-carrier operation and CA and DC</w:t>
            </w:r>
          </w:p>
          <w:p w14:paraId="35021520" w14:textId="77777777" w:rsidR="00087088" w:rsidRPr="00087088" w:rsidRDefault="00087088" w:rsidP="00087088">
            <w:pPr>
              <w:numPr>
                <w:ilvl w:val="2"/>
                <w:numId w:val="6"/>
              </w:numPr>
              <w:jc w:val="both"/>
              <w:rPr>
                <w:bCs/>
                <w:i/>
                <w:iCs/>
                <w:lang w:val="en-US"/>
              </w:rPr>
            </w:pPr>
            <w:r w:rsidRPr="00087088">
              <w:rPr>
                <w:bCs/>
                <w:i/>
                <w:iCs/>
              </w:rPr>
              <w:t>DC and CA with FR1.</w:t>
            </w:r>
          </w:p>
          <w:p w14:paraId="0810562B" w14:textId="26BB32CA" w:rsidR="00087088" w:rsidRPr="00087088" w:rsidRDefault="00087088" w:rsidP="00A82FBF">
            <w:pPr>
              <w:numPr>
                <w:ilvl w:val="1"/>
                <w:numId w:val="6"/>
              </w:numPr>
              <w:jc w:val="both"/>
              <w:rPr>
                <w:bCs/>
                <w:i/>
                <w:iCs/>
                <w:lang w:val="en-US"/>
              </w:rPr>
            </w:pPr>
            <w:r w:rsidRPr="00087088">
              <w:rPr>
                <w:bCs/>
                <w:i/>
                <w:iCs/>
              </w:rPr>
              <w:t xml:space="preserve">Option 3 (Ericsson): RAN4 </w:t>
            </w:r>
            <w:r w:rsidRPr="00087088">
              <w:rPr>
                <w:bCs/>
                <w:i/>
                <w:iCs/>
                <w:lang w:val="en-US"/>
              </w:rPr>
              <w:t>to prioritize non-standalone scenario where new band is used for SCell and PCell belongs to legacy FR2 band</w:t>
            </w:r>
          </w:p>
        </w:tc>
      </w:tr>
    </w:tbl>
    <w:p w14:paraId="55B36637" w14:textId="007850BF" w:rsidR="00087088" w:rsidRDefault="00CA0BA9" w:rsidP="004B204C">
      <w:pPr>
        <w:spacing w:after="0"/>
        <w:rPr>
          <w:lang w:eastAsia="ja-JP" w:bidi="hi-IN"/>
        </w:rPr>
      </w:pPr>
      <w:bookmarkStart w:id="2" w:name="_Hlk58524207"/>
      <w:r>
        <w:rPr>
          <w:lang w:eastAsia="ja-JP" w:bidi="hi-IN"/>
        </w:rPr>
        <w:t>At the same time t</w:t>
      </w:r>
      <w:r w:rsidR="00087088">
        <w:rPr>
          <w:lang w:eastAsia="ja-JP" w:bidi="hi-IN"/>
        </w:rPr>
        <w:t>he following is stated in WID</w:t>
      </w:r>
      <w:r w:rsidR="00176353">
        <w:rPr>
          <w:lang w:eastAsia="ja-JP" w:bidi="hi-IN"/>
        </w:rPr>
        <w:t xml:space="preserve"> [</w:t>
      </w:r>
      <w:r w:rsidR="004B0471">
        <w:rPr>
          <w:lang w:eastAsia="ja-JP" w:bidi="hi-IN"/>
        </w:rPr>
        <w:t>2</w:t>
      </w:r>
      <w:r w:rsidR="00176353">
        <w:rPr>
          <w:lang w:eastAsia="ja-JP" w:bidi="hi-IN"/>
        </w:rPr>
        <w:t>]</w:t>
      </w:r>
      <w:r w:rsidR="00983F2A">
        <w:rPr>
          <w:lang w:eastAsia="ja-JP" w:bidi="hi-IN"/>
        </w:rPr>
        <w:t xml:space="preserve"> for the deployment scenarios</w:t>
      </w:r>
      <w:r>
        <w:rPr>
          <w:lang w:eastAsia="ja-JP" w:bidi="hi-IN"/>
        </w:rPr>
        <w:t>:</w:t>
      </w:r>
    </w:p>
    <w:p w14:paraId="2923DE9C" w14:textId="77777777" w:rsidR="00983F2A" w:rsidRDefault="00983F2A" w:rsidP="004B204C">
      <w:pPr>
        <w:spacing w:after="0"/>
        <w:rPr>
          <w:lang w:eastAsia="ja-JP" w:bidi="hi-IN"/>
        </w:rPr>
      </w:pPr>
    </w:p>
    <w:tbl>
      <w:tblPr>
        <w:tblStyle w:val="TableGrid"/>
        <w:tblW w:w="0" w:type="auto"/>
        <w:tblLook w:val="04A0" w:firstRow="1" w:lastRow="0" w:firstColumn="1" w:lastColumn="0" w:noHBand="0" w:noVBand="1"/>
      </w:tblPr>
      <w:tblGrid>
        <w:gridCol w:w="9629"/>
      </w:tblGrid>
      <w:tr w:rsidR="004B204C" w14:paraId="0A43318E" w14:textId="77777777" w:rsidTr="007829AC">
        <w:tc>
          <w:tcPr>
            <w:tcW w:w="9629" w:type="dxa"/>
          </w:tcPr>
          <w:p w14:paraId="49B04490" w14:textId="77777777" w:rsidR="004B204C" w:rsidRPr="004B204C" w:rsidRDefault="004B204C" w:rsidP="004B204C">
            <w:pPr>
              <w:jc w:val="both"/>
              <w:rPr>
                <w:i/>
                <w:iCs/>
                <w:lang w:val="en-US"/>
              </w:rPr>
            </w:pPr>
            <w:bookmarkStart w:id="3" w:name="_Hlk78523245"/>
            <w:bookmarkEnd w:id="2"/>
            <w:proofErr w:type="gramStart"/>
            <w:r w:rsidRPr="004B204C">
              <w:rPr>
                <w:bCs/>
                <w:i/>
                <w:iCs/>
              </w:rPr>
              <w:t>Similar to</w:t>
            </w:r>
            <w:proofErr w:type="gramEnd"/>
            <w:r w:rsidRPr="004B204C">
              <w:rPr>
                <w:bCs/>
                <w:i/>
                <w:iCs/>
              </w:rPr>
              <w:t xml:space="preserve"> regular NR and NR-U operations below 52.6GHz, NR/NR-U operation in the 52.6GHz to 71GHz can be in stand-alone or aggregated via CA or DC with an anchor carrier.  </w:t>
            </w:r>
          </w:p>
        </w:tc>
      </w:tr>
      <w:bookmarkEnd w:id="3"/>
    </w:tbl>
    <w:p w14:paraId="5873B158" w14:textId="77777777" w:rsidR="00CA0BA9" w:rsidRDefault="00CA0BA9" w:rsidP="00D254A8">
      <w:pPr>
        <w:rPr>
          <w:lang w:eastAsia="ja-JP" w:bidi="hi-IN"/>
        </w:rPr>
      </w:pPr>
    </w:p>
    <w:p w14:paraId="7F158FDD" w14:textId="16A90B8D" w:rsidR="00D254A8" w:rsidRPr="00D254A8" w:rsidRDefault="00CA0BA9" w:rsidP="00D254A8">
      <w:pPr>
        <w:rPr>
          <w:lang w:eastAsia="ja-JP" w:bidi="hi-IN"/>
        </w:rPr>
      </w:pPr>
      <w:r>
        <w:rPr>
          <w:lang w:eastAsia="ja-JP" w:bidi="hi-IN"/>
        </w:rPr>
        <w:t xml:space="preserve">As we can see, WID does not preclude any deployment scenarios. However, for now </w:t>
      </w:r>
      <w:r w:rsidR="004B204C">
        <w:rPr>
          <w:lang w:eastAsia="ja-JP" w:bidi="hi-IN"/>
        </w:rPr>
        <w:t xml:space="preserve">FR2 networks are </w:t>
      </w:r>
      <w:r w:rsidR="00B82059">
        <w:rPr>
          <w:lang w:eastAsia="ja-JP" w:bidi="hi-IN"/>
        </w:rPr>
        <w:t xml:space="preserve">still </w:t>
      </w:r>
      <w:r w:rsidR="004B204C">
        <w:rPr>
          <w:lang w:eastAsia="ja-JP" w:bidi="hi-IN"/>
        </w:rPr>
        <w:t>not widely deployed</w:t>
      </w:r>
      <w:r w:rsidR="00B82059">
        <w:rPr>
          <w:lang w:eastAsia="ja-JP" w:bidi="hi-IN"/>
        </w:rPr>
        <w:t xml:space="preserve"> so </w:t>
      </w:r>
      <w:r w:rsidR="00087088">
        <w:rPr>
          <w:lang w:eastAsia="ja-JP" w:bidi="hi-IN"/>
        </w:rPr>
        <w:t xml:space="preserve">we think it is too early to </w:t>
      </w:r>
      <w:r w:rsidR="00B82059">
        <w:rPr>
          <w:lang w:eastAsia="ja-JP" w:bidi="hi-IN"/>
        </w:rPr>
        <w:t>consider them as the basis for new deployment</w:t>
      </w:r>
      <w:r w:rsidR="00087088">
        <w:rPr>
          <w:lang w:eastAsia="ja-JP" w:bidi="hi-IN"/>
        </w:rPr>
        <w:t>.</w:t>
      </w:r>
      <w:r>
        <w:rPr>
          <w:lang w:eastAsia="ja-JP" w:bidi="hi-IN"/>
        </w:rPr>
        <w:t xml:space="preserve"> We think that we can deprioritize scenarios with an anchor on FR2-1. Further</w:t>
      </w:r>
      <w:r w:rsidR="00896D82">
        <w:rPr>
          <w:lang w:eastAsia="ja-JP" w:bidi="hi-IN"/>
        </w:rPr>
        <w:t>,</w:t>
      </w:r>
      <w:r>
        <w:rPr>
          <w:lang w:eastAsia="ja-JP" w:bidi="hi-IN"/>
        </w:rPr>
        <w:t xml:space="preserve"> frequency range of FR2-2 </w:t>
      </w:r>
      <w:r>
        <w:rPr>
          <w:lang w:val="en-US" w:eastAsia="ja-JP" w:bidi="hi-IN"/>
        </w:rPr>
        <w:t>is characterized by high pathloss</w:t>
      </w:r>
      <w:r w:rsidR="00896D82">
        <w:rPr>
          <w:lang w:val="en-US" w:eastAsia="ja-JP" w:bidi="hi-IN"/>
        </w:rPr>
        <w:t xml:space="preserve"> and</w:t>
      </w:r>
      <w:r>
        <w:rPr>
          <w:lang w:val="en-US" w:eastAsia="ja-JP" w:bidi="hi-IN"/>
        </w:rPr>
        <w:t xml:space="preserve"> high probability of blockage, so it can not be </w:t>
      </w:r>
      <w:r w:rsidR="00896D82">
        <w:rPr>
          <w:lang w:val="en-US" w:eastAsia="ja-JP" w:bidi="hi-IN"/>
        </w:rPr>
        <w:t xml:space="preserve">considered </w:t>
      </w:r>
      <w:r>
        <w:rPr>
          <w:lang w:val="en-US" w:eastAsia="ja-JP" w:bidi="hi-IN"/>
        </w:rPr>
        <w:t xml:space="preserve">as </w:t>
      </w:r>
      <w:r w:rsidR="00896D82">
        <w:rPr>
          <w:lang w:val="en-US" w:eastAsia="ja-JP" w:bidi="hi-IN"/>
        </w:rPr>
        <w:t>reliable and should not be considered as master node in DC. Therefore, we propose to deprioritize NE-DC scenario with NR operating in FR2-2.</w:t>
      </w:r>
    </w:p>
    <w:p w14:paraId="112EB372" w14:textId="69319C05" w:rsidR="00982F1A" w:rsidRDefault="004B204C" w:rsidP="00982F1A">
      <w:pPr>
        <w:rPr>
          <w:b/>
          <w:bCs/>
          <w:lang w:val="en-US" w:eastAsia="ja-JP" w:bidi="hi-IN"/>
        </w:rPr>
      </w:pPr>
      <w:r w:rsidRPr="00B82059">
        <w:rPr>
          <w:b/>
          <w:bCs/>
          <w:lang w:val="en-US" w:eastAsia="ja-JP" w:bidi="hi-IN"/>
        </w:rPr>
        <w:t>Proposal 1: RAN4 to deprioritize scenarios with an anchor on FR2-1</w:t>
      </w:r>
    </w:p>
    <w:p w14:paraId="31C7C388" w14:textId="42718904" w:rsidR="004B204C" w:rsidRPr="004B0471" w:rsidRDefault="00C61F9E" w:rsidP="00982F1A">
      <w:pPr>
        <w:rPr>
          <w:b/>
          <w:bCs/>
          <w:lang w:val="en-US" w:eastAsia="ja-JP" w:bidi="hi-IN"/>
        </w:rPr>
      </w:pPr>
      <w:r>
        <w:rPr>
          <w:b/>
          <w:bCs/>
          <w:lang w:val="en-US" w:eastAsia="ja-JP" w:bidi="hi-IN"/>
        </w:rPr>
        <w:t xml:space="preserve">Proposal 2: </w:t>
      </w:r>
      <w:r w:rsidRPr="00B82059">
        <w:rPr>
          <w:b/>
          <w:bCs/>
          <w:lang w:val="en-US" w:eastAsia="ja-JP" w:bidi="hi-IN"/>
        </w:rPr>
        <w:t xml:space="preserve">RAN4 to deprioritize </w:t>
      </w:r>
      <w:r>
        <w:rPr>
          <w:b/>
          <w:bCs/>
          <w:lang w:val="en-US" w:eastAsia="ja-JP" w:bidi="hi-IN"/>
        </w:rPr>
        <w:t xml:space="preserve">NE-DC </w:t>
      </w:r>
      <w:r w:rsidRPr="00B82059">
        <w:rPr>
          <w:b/>
          <w:bCs/>
          <w:lang w:val="en-US" w:eastAsia="ja-JP" w:bidi="hi-IN"/>
        </w:rPr>
        <w:t>scenario</w:t>
      </w:r>
      <w:r>
        <w:rPr>
          <w:b/>
          <w:bCs/>
          <w:lang w:val="en-US" w:eastAsia="ja-JP" w:bidi="hi-IN"/>
        </w:rPr>
        <w:t xml:space="preserve"> with NR operating in FR2-2</w:t>
      </w:r>
    </w:p>
    <w:p w14:paraId="53976207" w14:textId="3D03D615" w:rsidR="004B204C" w:rsidRDefault="004B204C" w:rsidP="00397650">
      <w:pPr>
        <w:pStyle w:val="Heading2"/>
        <w:rPr>
          <w:rStyle w:val="fontstyle01"/>
          <w:rFonts w:ascii="Arial" w:hAnsi="Arial"/>
          <w:color w:val="auto"/>
          <w:sz w:val="24"/>
          <w:szCs w:val="20"/>
        </w:rPr>
      </w:pPr>
      <w:r>
        <w:rPr>
          <w:rStyle w:val="fontstyle01"/>
          <w:rFonts w:ascii="Arial" w:hAnsi="Arial"/>
          <w:color w:val="auto"/>
          <w:sz w:val="24"/>
          <w:szCs w:val="20"/>
        </w:rPr>
        <w:t>UE beam switching</w:t>
      </w:r>
    </w:p>
    <w:p w14:paraId="267A72C7" w14:textId="77777777" w:rsidR="00C61F9E" w:rsidRDefault="00C61F9E" w:rsidP="00B82059">
      <w:r>
        <w:rPr>
          <w:lang w:eastAsia="ja-JP"/>
        </w:rPr>
        <w:t>Higher frequencies allow to design antenna arrays with smaller antenna element spacing and thus with more antenna elements. This results in narrower beams what means that more beams are needed for good coverage</w:t>
      </w:r>
      <w:r>
        <w:t xml:space="preserve">. Frequent beam switching can be expected. </w:t>
      </w:r>
    </w:p>
    <w:p w14:paraId="5738A5F0" w14:textId="04A53F1D" w:rsidR="00B82059" w:rsidRDefault="00C61F9E" w:rsidP="00B82059">
      <w:pPr>
        <w:rPr>
          <w:lang w:eastAsia="ja-JP"/>
        </w:rPr>
      </w:pPr>
      <w:r>
        <w:lastRenderedPageBreak/>
        <w:t>At the same time n</w:t>
      </w:r>
      <w:r>
        <w:rPr>
          <w:lang w:eastAsia="ja-JP" w:bidi="hi-IN"/>
        </w:rPr>
        <w:t>ew s</w:t>
      </w:r>
      <w:r w:rsidRPr="00706EB6">
        <w:rPr>
          <w:lang w:eastAsia="ja-JP" w:bidi="hi-IN"/>
        </w:rPr>
        <w:t>ubcarrier spa</w:t>
      </w:r>
      <w:r>
        <w:rPr>
          <w:lang w:eastAsia="ja-JP" w:bidi="hi-IN"/>
        </w:rPr>
        <w:t>c</w:t>
      </w:r>
      <w:r w:rsidRPr="00706EB6">
        <w:rPr>
          <w:lang w:eastAsia="ja-JP" w:bidi="hi-IN"/>
        </w:rPr>
        <w:t>ing</w:t>
      </w:r>
      <w:r>
        <w:rPr>
          <w:lang w:eastAsia="ja-JP" w:bidi="hi-IN"/>
        </w:rPr>
        <w:t xml:space="preserve">s were specified </w:t>
      </w:r>
      <w:r>
        <w:rPr>
          <w:lang w:eastAsia="ja-JP"/>
        </w:rPr>
        <w:t xml:space="preserve">for FR2-2 </w:t>
      </w:r>
      <w:r>
        <w:t xml:space="preserve">– 480kHz and 960kHz. These two new SCS have short symbol duration and short CP length which is 146ns and 73ns for 480kHz and 960kHz respectively. Such short CP may not be enough for device to switch its beam especially since it also should cover possible device panel switching and receive timing difference between layers in case of MIMO. This </w:t>
      </w:r>
      <w:r w:rsidRPr="00E858AA">
        <w:t xml:space="preserve">may </w:t>
      </w:r>
      <w:r w:rsidRPr="00E858AA">
        <w:rPr>
          <w:lang w:eastAsia="ja-JP"/>
        </w:rPr>
        <w:t xml:space="preserve">lead to symbol miss every time the </w:t>
      </w:r>
      <w:r>
        <w:rPr>
          <w:lang w:eastAsia="ja-JP"/>
        </w:rPr>
        <w:t>device</w:t>
      </w:r>
      <w:r w:rsidRPr="00E858AA">
        <w:rPr>
          <w:lang w:eastAsia="ja-JP"/>
        </w:rPr>
        <w:t xml:space="preserve"> switches its beam.</w:t>
      </w:r>
      <w:r>
        <w:rPr>
          <w:lang w:eastAsia="ja-JP"/>
        </w:rPr>
        <w:t xml:space="preserve"> Considering that this symbol may carry PDCCH the performance degradation can be severe.</w:t>
      </w:r>
    </w:p>
    <w:p w14:paraId="641D1A5F" w14:textId="62CA67CA" w:rsidR="00587439" w:rsidRDefault="00587439" w:rsidP="00B82059">
      <w:r>
        <w:t>At the BS side t</w:t>
      </w:r>
      <w:r w:rsidRPr="00587439">
        <w:t>he problem can be solved by means of already existing mechanisms via proper scheduling (e.g. by allocating zero-power CSI-RS for the beam switching instances)</w:t>
      </w:r>
      <w:r>
        <w:t xml:space="preserve">. </w:t>
      </w:r>
      <w:r>
        <w:rPr>
          <w:lang w:eastAsia="ja-JP"/>
        </w:rPr>
        <w:t>BS knows when it is going to change the beam, so it can allocate the required resources accordingly. But the UE beam switching is not specified, and BS is not aware of the exact moments when UE will change its beam</w:t>
      </w:r>
      <w:r w:rsidRPr="00587439">
        <w:t xml:space="preserve"> </w:t>
      </w:r>
    </w:p>
    <w:p w14:paraId="5272FCDF" w14:textId="57F9F1F4" w:rsidR="00C61F9E" w:rsidRDefault="00587439" w:rsidP="00B82059">
      <w:r>
        <w:t>The most straightforward way to ensure that the symbol is not lost is to specify scheduling restrictions for the moments when the UE will switch its beam. The main problem is that Network is not aware of that moments, UE can switch its beam anytime. In this case the negotiation between UE and Network is required.</w:t>
      </w:r>
    </w:p>
    <w:p w14:paraId="2AC40797" w14:textId="7B02E1CA" w:rsidR="00587439" w:rsidRDefault="00ED1038" w:rsidP="00B82059">
      <w:r>
        <w:t>To have awareness of the UE beam switching moments and apply the scheduling restrictions accordingly Network can allocate the certain time intervals for UE to switch its beam. The UE will be allowed to change its beam only during these intervals, so its feedback on the preferred beam switch periodicity may be needed.</w:t>
      </w:r>
    </w:p>
    <w:p w14:paraId="1FF7928C" w14:textId="77777777" w:rsidR="006A03B1" w:rsidRDefault="00ED1038" w:rsidP="00B82059">
      <w:pPr>
        <w:rPr>
          <w:b/>
          <w:bCs/>
        </w:rPr>
      </w:pPr>
      <w:r w:rsidRPr="00ED1038">
        <w:rPr>
          <w:b/>
          <w:bCs/>
        </w:rPr>
        <w:t>Proposal 3: For operation with high SCS RAN4 to introduce the scheduled gaps for UE to switch its beam</w:t>
      </w:r>
    </w:p>
    <w:p w14:paraId="5CB7A81A" w14:textId="613AAC14" w:rsidR="00ED1038" w:rsidRPr="006A03B1" w:rsidRDefault="006A03B1" w:rsidP="00B82059">
      <w:pPr>
        <w:rPr>
          <w:b/>
          <w:bCs/>
          <w:lang w:val="en-US" w:eastAsia="ja-JP"/>
        </w:rPr>
      </w:pPr>
      <w:r>
        <w:rPr>
          <w:b/>
          <w:bCs/>
          <w:lang w:val="en-US" w:eastAsia="ja-JP"/>
        </w:rPr>
        <w:t xml:space="preserve">Proposal 4: Network will apply scheduling restrictions during that scheduled beam switching gap. </w:t>
      </w:r>
    </w:p>
    <w:p w14:paraId="23CF0599" w14:textId="46019F63" w:rsidR="00ED1038" w:rsidRPr="00ED1038" w:rsidRDefault="00ED1038" w:rsidP="00B82059">
      <w:pPr>
        <w:rPr>
          <w:b/>
          <w:bCs/>
          <w:lang w:eastAsia="ja-JP" w:bidi="hi-IN"/>
        </w:rPr>
      </w:pPr>
      <w:r w:rsidRPr="00ED1038">
        <w:rPr>
          <w:b/>
          <w:bCs/>
        </w:rPr>
        <w:t xml:space="preserve">Proposal </w:t>
      </w:r>
      <w:r w:rsidR="006A03B1">
        <w:rPr>
          <w:b/>
          <w:bCs/>
        </w:rPr>
        <w:t>5</w:t>
      </w:r>
      <w:r w:rsidRPr="00ED1038">
        <w:rPr>
          <w:b/>
          <w:bCs/>
        </w:rPr>
        <w:t>: The beam switching gaps can be scheduled based on UE feedback on the preferable beam switch periodicity</w:t>
      </w:r>
    </w:p>
    <w:p w14:paraId="06B0650C" w14:textId="77777777" w:rsidR="00F01182" w:rsidRPr="00146B4F" w:rsidRDefault="00F01182" w:rsidP="00F01182">
      <w:pPr>
        <w:pStyle w:val="Heading1"/>
      </w:pPr>
      <w:r w:rsidRPr="00146B4F">
        <w:t>Conclusion</w:t>
      </w:r>
    </w:p>
    <w:p w14:paraId="38213628" w14:textId="510CD8D1" w:rsidR="00F01182" w:rsidRDefault="00A47C50" w:rsidP="00F01182">
      <w:pPr>
        <w:tabs>
          <w:tab w:val="left" w:pos="709"/>
        </w:tabs>
        <w:spacing w:before="60" w:after="60"/>
        <w:jc w:val="both"/>
      </w:pPr>
      <w:r w:rsidRPr="00431B06">
        <w:t>In this paper we provide</w:t>
      </w:r>
      <w:r w:rsidR="004B0471">
        <w:t>d</w:t>
      </w:r>
      <w:r w:rsidRPr="00431B06">
        <w:t xml:space="preserve"> our views on </w:t>
      </w:r>
      <w:r w:rsidR="006A03B1">
        <w:t>some general aspects</w:t>
      </w:r>
      <w:r w:rsidR="004B0471">
        <w:t xml:space="preserve"> of </w:t>
      </w:r>
      <w:r w:rsidR="004B0471" w:rsidRPr="006A03B1">
        <w:t xml:space="preserve">52.6 – 71 GHz </w:t>
      </w:r>
      <w:r w:rsidR="004B0471">
        <w:t>frequency range features.</w:t>
      </w:r>
      <w:r>
        <w:t xml:space="preserve"> The following proposals were </w:t>
      </w:r>
      <w:r w:rsidR="00F01182">
        <w:t>made:</w:t>
      </w:r>
    </w:p>
    <w:p w14:paraId="6E20B4E7" w14:textId="77777777" w:rsidR="006A03B1" w:rsidRDefault="006A03B1" w:rsidP="006A03B1">
      <w:pPr>
        <w:rPr>
          <w:b/>
          <w:bCs/>
          <w:lang w:val="en-US" w:eastAsia="ja-JP" w:bidi="hi-IN"/>
        </w:rPr>
      </w:pPr>
      <w:r w:rsidRPr="00B82059">
        <w:rPr>
          <w:b/>
          <w:bCs/>
          <w:lang w:val="en-US" w:eastAsia="ja-JP" w:bidi="hi-IN"/>
        </w:rPr>
        <w:t>Proposal 1: RAN4 to deprioritize scenarios with an anchor on FR2-1</w:t>
      </w:r>
    </w:p>
    <w:p w14:paraId="77C8F767" w14:textId="77777777" w:rsidR="006A03B1" w:rsidRDefault="006A03B1" w:rsidP="006A03B1">
      <w:pPr>
        <w:rPr>
          <w:b/>
          <w:bCs/>
          <w:lang w:val="en-US" w:eastAsia="ja-JP" w:bidi="hi-IN"/>
        </w:rPr>
      </w:pPr>
      <w:r>
        <w:rPr>
          <w:b/>
          <w:bCs/>
          <w:lang w:val="en-US" w:eastAsia="ja-JP" w:bidi="hi-IN"/>
        </w:rPr>
        <w:t xml:space="preserve">Proposal 2: </w:t>
      </w:r>
      <w:r w:rsidRPr="00B82059">
        <w:rPr>
          <w:b/>
          <w:bCs/>
          <w:lang w:val="en-US" w:eastAsia="ja-JP" w:bidi="hi-IN"/>
        </w:rPr>
        <w:t xml:space="preserve">RAN4 to deprioritize </w:t>
      </w:r>
      <w:r>
        <w:rPr>
          <w:b/>
          <w:bCs/>
          <w:lang w:val="en-US" w:eastAsia="ja-JP" w:bidi="hi-IN"/>
        </w:rPr>
        <w:t xml:space="preserve">NE-DC </w:t>
      </w:r>
      <w:r w:rsidRPr="00B82059">
        <w:rPr>
          <w:b/>
          <w:bCs/>
          <w:lang w:val="en-US" w:eastAsia="ja-JP" w:bidi="hi-IN"/>
        </w:rPr>
        <w:t>scenario</w:t>
      </w:r>
      <w:r>
        <w:rPr>
          <w:b/>
          <w:bCs/>
          <w:lang w:val="en-US" w:eastAsia="ja-JP" w:bidi="hi-IN"/>
        </w:rPr>
        <w:t xml:space="preserve"> with NR operating in FR2-2</w:t>
      </w:r>
    </w:p>
    <w:p w14:paraId="5B0235CC" w14:textId="77777777" w:rsidR="006A03B1" w:rsidRDefault="006A03B1" w:rsidP="006A03B1">
      <w:pPr>
        <w:rPr>
          <w:b/>
          <w:bCs/>
        </w:rPr>
      </w:pPr>
      <w:r w:rsidRPr="00ED1038">
        <w:rPr>
          <w:b/>
          <w:bCs/>
        </w:rPr>
        <w:t>Proposal 3: For operation with high SCS RAN4 to introduce the scheduled gaps for UE to switch its beam</w:t>
      </w:r>
    </w:p>
    <w:p w14:paraId="7ED6B8EF" w14:textId="77777777" w:rsidR="006A03B1" w:rsidRPr="006A03B1" w:rsidRDefault="006A03B1" w:rsidP="006A03B1">
      <w:pPr>
        <w:rPr>
          <w:b/>
          <w:bCs/>
          <w:lang w:val="en-US" w:eastAsia="ja-JP"/>
        </w:rPr>
      </w:pPr>
      <w:r>
        <w:rPr>
          <w:b/>
          <w:bCs/>
          <w:lang w:val="en-US" w:eastAsia="ja-JP"/>
        </w:rPr>
        <w:t xml:space="preserve">Proposal 4: Network will apply scheduling restrictions during that scheduled beam switching gap. </w:t>
      </w:r>
    </w:p>
    <w:p w14:paraId="79D5DACE" w14:textId="21B13AB0" w:rsidR="00A47C50" w:rsidRPr="00787D22" w:rsidRDefault="006A03B1" w:rsidP="00787D22">
      <w:pPr>
        <w:rPr>
          <w:b/>
          <w:bCs/>
          <w:lang w:eastAsia="ja-JP" w:bidi="hi-IN"/>
        </w:rPr>
      </w:pPr>
      <w:r w:rsidRPr="00ED1038">
        <w:rPr>
          <w:b/>
          <w:bCs/>
        </w:rPr>
        <w:t xml:space="preserve">Proposal </w:t>
      </w:r>
      <w:r>
        <w:rPr>
          <w:b/>
          <w:bCs/>
        </w:rPr>
        <w:t>5</w:t>
      </w:r>
      <w:r w:rsidRPr="00ED1038">
        <w:rPr>
          <w:b/>
          <w:bCs/>
        </w:rPr>
        <w:t>: The beam switching gaps can be scheduled based on UE feedback on the preferable beam switch periodicity</w:t>
      </w:r>
    </w:p>
    <w:p w14:paraId="0F869E2E" w14:textId="77777777" w:rsidR="00F01182" w:rsidRPr="00146B4F" w:rsidRDefault="00F01182" w:rsidP="00F01182">
      <w:pPr>
        <w:pStyle w:val="Heading1"/>
      </w:pPr>
      <w:r w:rsidRPr="00146B4F">
        <w:t>References</w:t>
      </w:r>
    </w:p>
    <w:p w14:paraId="4A691506" w14:textId="3D32974C" w:rsidR="004B0471" w:rsidRDefault="004B0471" w:rsidP="004B0471">
      <w:pPr>
        <w:widowControl w:val="0"/>
        <w:numPr>
          <w:ilvl w:val="0"/>
          <w:numId w:val="1"/>
        </w:numPr>
        <w:jc w:val="both"/>
      </w:pPr>
      <w:r w:rsidRPr="00B912A4">
        <w:t>R4-2108354</w:t>
      </w:r>
      <w:r>
        <w:t xml:space="preserve">, </w:t>
      </w:r>
      <w:r w:rsidRPr="00B912A4">
        <w:t xml:space="preserve">WF on NR Ext to 71GHz </w:t>
      </w:r>
      <w:r>
        <w:t>–</w:t>
      </w:r>
      <w:r w:rsidRPr="00B912A4">
        <w:t xml:space="preserve"> RRM</w:t>
      </w:r>
      <w:r>
        <w:t xml:space="preserve">, Qualcomm, RAN4 #99, </w:t>
      </w:r>
      <w:r w:rsidRPr="00B912A4">
        <w:t>19</w:t>
      </w:r>
      <w:r w:rsidRPr="00B912A4">
        <w:rPr>
          <w:vertAlign w:val="superscript"/>
        </w:rPr>
        <w:t>th</w:t>
      </w:r>
      <w:r w:rsidRPr="00B912A4">
        <w:t xml:space="preserve"> – 27</w:t>
      </w:r>
      <w:r w:rsidRPr="00B912A4">
        <w:rPr>
          <w:vertAlign w:val="superscript"/>
        </w:rPr>
        <w:t>th</w:t>
      </w:r>
      <w:r>
        <w:t xml:space="preserve"> </w:t>
      </w:r>
      <w:r w:rsidRPr="00B912A4">
        <w:t>May 2021</w:t>
      </w:r>
    </w:p>
    <w:p w14:paraId="041D9034" w14:textId="165104D2" w:rsidR="008B6914" w:rsidRPr="004B0471" w:rsidRDefault="004B0471" w:rsidP="004B0471">
      <w:pPr>
        <w:widowControl w:val="0"/>
        <w:numPr>
          <w:ilvl w:val="0"/>
          <w:numId w:val="1"/>
        </w:numPr>
        <w:jc w:val="both"/>
        <w:rPr>
          <w:lang w:val="en-US"/>
        </w:rPr>
      </w:pPr>
      <w:r w:rsidRPr="00B37C01">
        <w:rPr>
          <w:lang w:val="en-US"/>
        </w:rPr>
        <w:t>RP-202925, Revised WID: Extending current NR operation to 71 GHz, RAN#90-e, Qualcomm, Intel</w:t>
      </w:r>
    </w:p>
    <w:sectPr w:rsidR="008B6914" w:rsidRPr="004B0471" w:rsidSect="00F01182">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80516C" w14:textId="77777777" w:rsidR="00BA7DE0" w:rsidRDefault="00BA7DE0" w:rsidP="00F01182">
      <w:pPr>
        <w:spacing w:before="0" w:after="0"/>
      </w:pPr>
      <w:r>
        <w:separator/>
      </w:r>
    </w:p>
  </w:endnote>
  <w:endnote w:type="continuationSeparator" w:id="0">
    <w:p w14:paraId="6EF7F12E" w14:textId="77777777" w:rsidR="00BA7DE0" w:rsidRDefault="00BA7DE0"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9F2ED" w14:textId="77777777" w:rsidR="00BA7DE0" w:rsidRDefault="00BA7DE0"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BA7DE0" w:rsidRDefault="00BA7DE0"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16B0" w14:textId="77777777" w:rsidR="00BA7DE0" w:rsidRPr="00DB1239" w:rsidRDefault="00BA7DE0"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3252D" w14:textId="77777777" w:rsidR="00BA7DE0" w:rsidRDefault="00BA7D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B9D88" w14:textId="77777777" w:rsidR="00BA7DE0" w:rsidRDefault="00BA7DE0" w:rsidP="00F01182">
      <w:pPr>
        <w:spacing w:before="0" w:after="0"/>
      </w:pPr>
      <w:r>
        <w:separator/>
      </w:r>
    </w:p>
  </w:footnote>
  <w:footnote w:type="continuationSeparator" w:id="0">
    <w:p w14:paraId="17C419BD" w14:textId="77777777" w:rsidR="00BA7DE0" w:rsidRDefault="00BA7DE0"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3E17A" w14:textId="77777777" w:rsidR="00BA7DE0" w:rsidRDefault="00BA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2E80" w14:textId="77777777" w:rsidR="00BA7DE0" w:rsidRDefault="00BA7D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C5FA0" w14:textId="77777777" w:rsidR="00BA7DE0" w:rsidRDefault="00BA7D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1F356F9F"/>
    <w:multiLevelType w:val="hybridMultilevel"/>
    <w:tmpl w:val="0504DD60"/>
    <w:lvl w:ilvl="0" w:tplc="3CE6AEE4">
      <w:start w:val="1"/>
      <w:numFmt w:val="bullet"/>
      <w:lvlText w:val="•"/>
      <w:lvlJc w:val="left"/>
      <w:pPr>
        <w:tabs>
          <w:tab w:val="num" w:pos="720"/>
        </w:tabs>
        <w:ind w:left="720" w:hanging="360"/>
      </w:pPr>
      <w:rPr>
        <w:rFonts w:ascii="Arial" w:hAnsi="Arial" w:hint="default"/>
      </w:rPr>
    </w:lvl>
    <w:lvl w:ilvl="1" w:tplc="E3689FBC">
      <w:numFmt w:val="bullet"/>
      <w:lvlText w:val="•"/>
      <w:lvlJc w:val="left"/>
      <w:pPr>
        <w:tabs>
          <w:tab w:val="num" w:pos="1440"/>
        </w:tabs>
        <w:ind w:left="1440" w:hanging="360"/>
      </w:pPr>
      <w:rPr>
        <w:rFonts w:ascii="Arial" w:hAnsi="Arial" w:hint="default"/>
      </w:rPr>
    </w:lvl>
    <w:lvl w:ilvl="2" w:tplc="55CCFB4A">
      <w:numFmt w:val="bullet"/>
      <w:lvlText w:val="•"/>
      <w:lvlJc w:val="left"/>
      <w:pPr>
        <w:tabs>
          <w:tab w:val="num" w:pos="2160"/>
        </w:tabs>
        <w:ind w:left="2160" w:hanging="360"/>
      </w:pPr>
      <w:rPr>
        <w:rFonts w:ascii="Arial" w:hAnsi="Arial" w:hint="default"/>
      </w:rPr>
    </w:lvl>
    <w:lvl w:ilvl="3" w:tplc="005AD592" w:tentative="1">
      <w:start w:val="1"/>
      <w:numFmt w:val="bullet"/>
      <w:lvlText w:val="•"/>
      <w:lvlJc w:val="left"/>
      <w:pPr>
        <w:tabs>
          <w:tab w:val="num" w:pos="2880"/>
        </w:tabs>
        <w:ind w:left="2880" w:hanging="360"/>
      </w:pPr>
      <w:rPr>
        <w:rFonts w:ascii="Arial" w:hAnsi="Arial" w:hint="default"/>
      </w:rPr>
    </w:lvl>
    <w:lvl w:ilvl="4" w:tplc="EE7224F6" w:tentative="1">
      <w:start w:val="1"/>
      <w:numFmt w:val="bullet"/>
      <w:lvlText w:val="•"/>
      <w:lvlJc w:val="left"/>
      <w:pPr>
        <w:tabs>
          <w:tab w:val="num" w:pos="3600"/>
        </w:tabs>
        <w:ind w:left="3600" w:hanging="360"/>
      </w:pPr>
      <w:rPr>
        <w:rFonts w:ascii="Arial" w:hAnsi="Arial" w:hint="default"/>
      </w:rPr>
    </w:lvl>
    <w:lvl w:ilvl="5" w:tplc="78C6CDA0" w:tentative="1">
      <w:start w:val="1"/>
      <w:numFmt w:val="bullet"/>
      <w:lvlText w:val="•"/>
      <w:lvlJc w:val="left"/>
      <w:pPr>
        <w:tabs>
          <w:tab w:val="num" w:pos="4320"/>
        </w:tabs>
        <w:ind w:left="4320" w:hanging="360"/>
      </w:pPr>
      <w:rPr>
        <w:rFonts w:ascii="Arial" w:hAnsi="Arial" w:hint="default"/>
      </w:rPr>
    </w:lvl>
    <w:lvl w:ilvl="6" w:tplc="0CE2B11C" w:tentative="1">
      <w:start w:val="1"/>
      <w:numFmt w:val="bullet"/>
      <w:lvlText w:val="•"/>
      <w:lvlJc w:val="left"/>
      <w:pPr>
        <w:tabs>
          <w:tab w:val="num" w:pos="5040"/>
        </w:tabs>
        <w:ind w:left="5040" w:hanging="360"/>
      </w:pPr>
      <w:rPr>
        <w:rFonts w:ascii="Arial" w:hAnsi="Arial" w:hint="default"/>
      </w:rPr>
    </w:lvl>
    <w:lvl w:ilvl="7" w:tplc="0A28FDB2" w:tentative="1">
      <w:start w:val="1"/>
      <w:numFmt w:val="bullet"/>
      <w:lvlText w:val="•"/>
      <w:lvlJc w:val="left"/>
      <w:pPr>
        <w:tabs>
          <w:tab w:val="num" w:pos="5760"/>
        </w:tabs>
        <w:ind w:left="5760" w:hanging="360"/>
      </w:pPr>
      <w:rPr>
        <w:rFonts w:ascii="Arial" w:hAnsi="Arial" w:hint="default"/>
      </w:rPr>
    </w:lvl>
    <w:lvl w:ilvl="8" w:tplc="2F1CA3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5"/>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proofState w:grammar="clean"/>
  <w:defaultTabStop w:val="708"/>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25ABE"/>
    <w:rsid w:val="00045451"/>
    <w:rsid w:val="00084065"/>
    <w:rsid w:val="00087088"/>
    <w:rsid w:val="000A7FA8"/>
    <w:rsid w:val="000B0BF2"/>
    <w:rsid w:val="000C3C28"/>
    <w:rsid w:val="000C591A"/>
    <w:rsid w:val="000E1A0A"/>
    <w:rsid w:val="00176353"/>
    <w:rsid w:val="001B79B4"/>
    <w:rsid w:val="001C2D4A"/>
    <w:rsid w:val="001C7338"/>
    <w:rsid w:val="00204C52"/>
    <w:rsid w:val="00217D2C"/>
    <w:rsid w:val="002460DA"/>
    <w:rsid w:val="002562C7"/>
    <w:rsid w:val="0026412A"/>
    <w:rsid w:val="00264652"/>
    <w:rsid w:val="002732EB"/>
    <w:rsid w:val="00276AB5"/>
    <w:rsid w:val="00280090"/>
    <w:rsid w:val="002E1458"/>
    <w:rsid w:val="00312F3D"/>
    <w:rsid w:val="00330CD2"/>
    <w:rsid w:val="003618A5"/>
    <w:rsid w:val="00397650"/>
    <w:rsid w:val="003A3744"/>
    <w:rsid w:val="003C767B"/>
    <w:rsid w:val="003C781F"/>
    <w:rsid w:val="003D22B2"/>
    <w:rsid w:val="003E3FF2"/>
    <w:rsid w:val="003E598B"/>
    <w:rsid w:val="00431B06"/>
    <w:rsid w:val="004563D3"/>
    <w:rsid w:val="00476AF6"/>
    <w:rsid w:val="00490C92"/>
    <w:rsid w:val="004A09B6"/>
    <w:rsid w:val="004B0471"/>
    <w:rsid w:val="004B204C"/>
    <w:rsid w:val="0050718C"/>
    <w:rsid w:val="00510D0B"/>
    <w:rsid w:val="00523459"/>
    <w:rsid w:val="005468E3"/>
    <w:rsid w:val="00553847"/>
    <w:rsid w:val="00587439"/>
    <w:rsid w:val="00595995"/>
    <w:rsid w:val="005B3C5D"/>
    <w:rsid w:val="005D0CD6"/>
    <w:rsid w:val="005D7F3E"/>
    <w:rsid w:val="006005EB"/>
    <w:rsid w:val="006303F7"/>
    <w:rsid w:val="00666C1E"/>
    <w:rsid w:val="006A03B1"/>
    <w:rsid w:val="006D23BC"/>
    <w:rsid w:val="00701619"/>
    <w:rsid w:val="00721E81"/>
    <w:rsid w:val="00725BA6"/>
    <w:rsid w:val="0073741D"/>
    <w:rsid w:val="00780A46"/>
    <w:rsid w:val="00781FCA"/>
    <w:rsid w:val="00787D22"/>
    <w:rsid w:val="007E00C1"/>
    <w:rsid w:val="00804CC8"/>
    <w:rsid w:val="00833FDE"/>
    <w:rsid w:val="008579C9"/>
    <w:rsid w:val="00896D82"/>
    <w:rsid w:val="0089734D"/>
    <w:rsid w:val="008A7479"/>
    <w:rsid w:val="008B6914"/>
    <w:rsid w:val="008C6931"/>
    <w:rsid w:val="008C737F"/>
    <w:rsid w:val="008E624A"/>
    <w:rsid w:val="008F64EB"/>
    <w:rsid w:val="00905604"/>
    <w:rsid w:val="00917E27"/>
    <w:rsid w:val="009436B2"/>
    <w:rsid w:val="009550C0"/>
    <w:rsid w:val="00955AFF"/>
    <w:rsid w:val="00982F1A"/>
    <w:rsid w:val="00983F2A"/>
    <w:rsid w:val="00993E56"/>
    <w:rsid w:val="009B10CD"/>
    <w:rsid w:val="009B6F6B"/>
    <w:rsid w:val="009D6577"/>
    <w:rsid w:val="009F3400"/>
    <w:rsid w:val="009F37FB"/>
    <w:rsid w:val="00A21195"/>
    <w:rsid w:val="00A47A6A"/>
    <w:rsid w:val="00A47C50"/>
    <w:rsid w:val="00A70C9E"/>
    <w:rsid w:val="00A800C6"/>
    <w:rsid w:val="00A846A0"/>
    <w:rsid w:val="00A944C4"/>
    <w:rsid w:val="00AB081E"/>
    <w:rsid w:val="00AB2E7B"/>
    <w:rsid w:val="00AE07E7"/>
    <w:rsid w:val="00AF52F7"/>
    <w:rsid w:val="00B05576"/>
    <w:rsid w:val="00B11E4E"/>
    <w:rsid w:val="00B25B59"/>
    <w:rsid w:val="00B27CFE"/>
    <w:rsid w:val="00B30E43"/>
    <w:rsid w:val="00B5397D"/>
    <w:rsid w:val="00B711E9"/>
    <w:rsid w:val="00B76C78"/>
    <w:rsid w:val="00B82059"/>
    <w:rsid w:val="00B96CE2"/>
    <w:rsid w:val="00BA3E2C"/>
    <w:rsid w:val="00BA5F1E"/>
    <w:rsid w:val="00BA6BAA"/>
    <w:rsid w:val="00BA7DE0"/>
    <w:rsid w:val="00BB3F09"/>
    <w:rsid w:val="00BC4207"/>
    <w:rsid w:val="00BD1E06"/>
    <w:rsid w:val="00BD6C67"/>
    <w:rsid w:val="00BE4E62"/>
    <w:rsid w:val="00C16332"/>
    <w:rsid w:val="00C418D2"/>
    <w:rsid w:val="00C54BB9"/>
    <w:rsid w:val="00C61F9E"/>
    <w:rsid w:val="00C63A6A"/>
    <w:rsid w:val="00C65EF3"/>
    <w:rsid w:val="00C975E0"/>
    <w:rsid w:val="00CA0BA9"/>
    <w:rsid w:val="00CB1708"/>
    <w:rsid w:val="00CD6254"/>
    <w:rsid w:val="00D040B2"/>
    <w:rsid w:val="00D0470E"/>
    <w:rsid w:val="00D12994"/>
    <w:rsid w:val="00D1461D"/>
    <w:rsid w:val="00D254A8"/>
    <w:rsid w:val="00D3657F"/>
    <w:rsid w:val="00D62705"/>
    <w:rsid w:val="00D9234B"/>
    <w:rsid w:val="00DA6789"/>
    <w:rsid w:val="00DC3026"/>
    <w:rsid w:val="00DC3348"/>
    <w:rsid w:val="00DD1FD4"/>
    <w:rsid w:val="00DF2C14"/>
    <w:rsid w:val="00E071CC"/>
    <w:rsid w:val="00E31A14"/>
    <w:rsid w:val="00E33408"/>
    <w:rsid w:val="00E33664"/>
    <w:rsid w:val="00E44293"/>
    <w:rsid w:val="00E44F50"/>
    <w:rsid w:val="00E60B32"/>
    <w:rsid w:val="00E616D4"/>
    <w:rsid w:val="00E773AC"/>
    <w:rsid w:val="00E81831"/>
    <w:rsid w:val="00ED1038"/>
    <w:rsid w:val="00EF22B6"/>
    <w:rsid w:val="00F01182"/>
    <w:rsid w:val="00F32004"/>
    <w:rsid w:val="00F36E15"/>
    <w:rsid w:val="00F711C2"/>
    <w:rsid w:val="00F94E10"/>
    <w:rsid w:val="00FA39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basedOn w:val="Normal"/>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512835037">
      <w:bodyDiv w:val="1"/>
      <w:marLeft w:val="0"/>
      <w:marRight w:val="0"/>
      <w:marTop w:val="0"/>
      <w:marBottom w:val="0"/>
      <w:divBdr>
        <w:top w:val="none" w:sz="0" w:space="0" w:color="auto"/>
        <w:left w:val="none" w:sz="0" w:space="0" w:color="auto"/>
        <w:bottom w:val="none" w:sz="0" w:space="0" w:color="auto"/>
        <w:right w:val="none" w:sz="0" w:space="0" w:color="auto"/>
      </w:divBdr>
      <w:divsChild>
        <w:div w:id="764305241">
          <w:marLeft w:val="360"/>
          <w:marRight w:val="0"/>
          <w:marTop w:val="200"/>
          <w:marBottom w:val="0"/>
          <w:divBdr>
            <w:top w:val="none" w:sz="0" w:space="0" w:color="auto"/>
            <w:left w:val="none" w:sz="0" w:space="0" w:color="auto"/>
            <w:bottom w:val="none" w:sz="0" w:space="0" w:color="auto"/>
            <w:right w:val="none" w:sz="0" w:space="0" w:color="auto"/>
          </w:divBdr>
        </w:div>
        <w:div w:id="1906409095">
          <w:marLeft w:val="1080"/>
          <w:marRight w:val="0"/>
          <w:marTop w:val="100"/>
          <w:marBottom w:val="0"/>
          <w:divBdr>
            <w:top w:val="none" w:sz="0" w:space="0" w:color="auto"/>
            <w:left w:val="none" w:sz="0" w:space="0" w:color="auto"/>
            <w:bottom w:val="none" w:sz="0" w:space="0" w:color="auto"/>
            <w:right w:val="none" w:sz="0" w:space="0" w:color="auto"/>
          </w:divBdr>
        </w:div>
        <w:div w:id="297034372">
          <w:marLeft w:val="1080"/>
          <w:marRight w:val="0"/>
          <w:marTop w:val="100"/>
          <w:marBottom w:val="0"/>
          <w:divBdr>
            <w:top w:val="none" w:sz="0" w:space="0" w:color="auto"/>
            <w:left w:val="none" w:sz="0" w:space="0" w:color="auto"/>
            <w:bottom w:val="none" w:sz="0" w:space="0" w:color="auto"/>
            <w:right w:val="none" w:sz="0" w:space="0" w:color="auto"/>
          </w:divBdr>
        </w:div>
        <w:div w:id="1602301657">
          <w:marLeft w:val="1800"/>
          <w:marRight w:val="0"/>
          <w:marTop w:val="100"/>
          <w:marBottom w:val="0"/>
          <w:divBdr>
            <w:top w:val="none" w:sz="0" w:space="0" w:color="auto"/>
            <w:left w:val="none" w:sz="0" w:space="0" w:color="auto"/>
            <w:bottom w:val="none" w:sz="0" w:space="0" w:color="auto"/>
            <w:right w:val="none" w:sz="0" w:space="0" w:color="auto"/>
          </w:divBdr>
        </w:div>
        <w:div w:id="928083105">
          <w:marLeft w:val="1800"/>
          <w:marRight w:val="0"/>
          <w:marTop w:val="100"/>
          <w:marBottom w:val="0"/>
          <w:divBdr>
            <w:top w:val="none" w:sz="0" w:space="0" w:color="auto"/>
            <w:left w:val="none" w:sz="0" w:space="0" w:color="auto"/>
            <w:bottom w:val="none" w:sz="0" w:space="0" w:color="auto"/>
            <w:right w:val="none" w:sz="0" w:space="0" w:color="auto"/>
          </w:divBdr>
        </w:div>
        <w:div w:id="843936234">
          <w:marLeft w:val="1080"/>
          <w:marRight w:val="0"/>
          <w:marTop w:val="100"/>
          <w:marBottom w:val="0"/>
          <w:divBdr>
            <w:top w:val="none" w:sz="0" w:space="0" w:color="auto"/>
            <w:left w:val="none" w:sz="0" w:space="0" w:color="auto"/>
            <w:bottom w:val="none" w:sz="0" w:space="0" w:color="auto"/>
            <w:right w:val="none" w:sz="0" w:space="0" w:color="auto"/>
          </w:divBdr>
        </w:div>
      </w:divsChild>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254</TotalTime>
  <Pages>2</Pages>
  <Words>730</Words>
  <Characters>4165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10</cp:revision>
  <dcterms:created xsi:type="dcterms:W3CDTF">2021-07-29T04:40:00Z</dcterms:created>
  <dcterms:modified xsi:type="dcterms:W3CDTF">2021-08-06T20:50:00Z</dcterms:modified>
</cp:coreProperties>
</file>